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34DEF" w14:textId="77777777" w:rsidR="00C10238" w:rsidRPr="00D60495" w:rsidRDefault="00C10238" w:rsidP="00512781">
      <w:pPr>
        <w:jc w:val="center"/>
        <w:rPr>
          <w:rFonts w:ascii="Times New Roman" w:hAnsi="Times New Roman" w:cs="Times New Roman"/>
          <w:b/>
          <w:sz w:val="22"/>
          <w:szCs w:val="22"/>
        </w:rPr>
      </w:pPr>
    </w:p>
    <w:p w14:paraId="5E61AC94" w14:textId="77777777" w:rsidR="00F75ABA" w:rsidRPr="00D60495" w:rsidRDefault="00512781" w:rsidP="00512781">
      <w:pPr>
        <w:jc w:val="center"/>
        <w:rPr>
          <w:rFonts w:ascii="Times New Roman" w:hAnsi="Times New Roman" w:cs="Times New Roman"/>
          <w:b/>
          <w:sz w:val="22"/>
          <w:szCs w:val="22"/>
        </w:rPr>
      </w:pPr>
      <w:r w:rsidRPr="00D60495">
        <w:rPr>
          <w:rFonts w:ascii="Times New Roman" w:hAnsi="Times New Roman" w:cs="Times New Roman"/>
          <w:b/>
          <w:sz w:val="22"/>
          <w:szCs w:val="22"/>
        </w:rPr>
        <w:t>Notes accompanying Deliverable A</w:t>
      </w:r>
    </w:p>
    <w:p w14:paraId="64269330" w14:textId="77777777" w:rsidR="00512781" w:rsidRPr="00D60495" w:rsidRDefault="00512781">
      <w:pPr>
        <w:rPr>
          <w:rFonts w:ascii="Times New Roman" w:hAnsi="Times New Roman" w:cs="Times New Roman"/>
          <w:b/>
          <w:sz w:val="22"/>
          <w:szCs w:val="22"/>
        </w:rPr>
      </w:pPr>
    </w:p>
    <w:p w14:paraId="36E98815" w14:textId="77777777" w:rsidR="00512781" w:rsidRPr="00D60495" w:rsidRDefault="00512781">
      <w:pPr>
        <w:rPr>
          <w:rFonts w:ascii="Times New Roman" w:hAnsi="Times New Roman" w:cs="Times New Roman"/>
          <w:sz w:val="22"/>
          <w:szCs w:val="22"/>
        </w:rPr>
      </w:pPr>
      <w:r w:rsidRPr="00D60495">
        <w:rPr>
          <w:rFonts w:ascii="Times New Roman" w:hAnsi="Times New Roman" w:cs="Times New Roman"/>
          <w:sz w:val="22"/>
          <w:szCs w:val="22"/>
        </w:rPr>
        <w:t>This deliverable covers the following modes of naturalisation:</w:t>
      </w:r>
    </w:p>
    <w:p w14:paraId="381659D5" w14:textId="77777777" w:rsidR="00512781" w:rsidRPr="00D60495" w:rsidRDefault="00512781">
      <w:pPr>
        <w:rPr>
          <w:rFonts w:ascii="Times New Roman" w:hAnsi="Times New Roman" w:cs="Times New Roman"/>
          <w:sz w:val="22"/>
          <w:szCs w:val="22"/>
        </w:rPr>
      </w:pPr>
    </w:p>
    <w:p w14:paraId="4C810FCD" w14:textId="77777777" w:rsidR="00512781" w:rsidRPr="00D60495" w:rsidRDefault="00512781" w:rsidP="00512781">
      <w:pPr>
        <w:ind w:left="720"/>
        <w:jc w:val="both"/>
        <w:rPr>
          <w:rFonts w:ascii="Times New Roman" w:hAnsi="Times New Roman" w:cs="Times New Roman"/>
          <w:sz w:val="22"/>
          <w:szCs w:val="22"/>
        </w:rPr>
      </w:pPr>
      <w:r w:rsidRPr="00D60495">
        <w:rPr>
          <w:rFonts w:ascii="Times New Roman" w:hAnsi="Times New Roman" w:cs="Times New Roman"/>
          <w:b/>
          <w:sz w:val="22"/>
          <w:szCs w:val="22"/>
        </w:rPr>
        <w:t>TAB 1:</w:t>
      </w:r>
      <w:r w:rsidRPr="00D60495">
        <w:rPr>
          <w:rFonts w:ascii="Times New Roman" w:hAnsi="Times New Roman" w:cs="Times New Roman"/>
          <w:sz w:val="22"/>
          <w:szCs w:val="22"/>
        </w:rPr>
        <w:t xml:space="preserve"> </w:t>
      </w:r>
      <w:r w:rsidRPr="00D60495">
        <w:rPr>
          <w:rFonts w:ascii="Times New Roman" w:hAnsi="Times New Roman" w:cs="Times New Roman"/>
          <w:b/>
          <w:i/>
          <w:sz w:val="22"/>
          <w:szCs w:val="22"/>
        </w:rPr>
        <w:t>Ordinary naturalisation</w:t>
      </w:r>
      <w:r w:rsidRPr="00D60495">
        <w:rPr>
          <w:rFonts w:ascii="Times New Roman" w:hAnsi="Times New Roman" w:cs="Times New Roman"/>
          <w:sz w:val="22"/>
          <w:szCs w:val="22"/>
        </w:rPr>
        <w:t xml:space="preserve"> – residence-based naturalisation, which does not foresee any waivers of conditions normally envisaged for applicants. </w:t>
      </w:r>
    </w:p>
    <w:p w14:paraId="0E4819FF" w14:textId="77777777" w:rsidR="00512781" w:rsidRPr="00D60495" w:rsidRDefault="00512781" w:rsidP="00512781">
      <w:pPr>
        <w:ind w:left="720"/>
        <w:jc w:val="both"/>
        <w:rPr>
          <w:rFonts w:ascii="Times New Roman" w:hAnsi="Times New Roman" w:cs="Times New Roman"/>
          <w:sz w:val="22"/>
          <w:szCs w:val="22"/>
        </w:rPr>
      </w:pPr>
    </w:p>
    <w:p w14:paraId="7F19FC09" w14:textId="77777777" w:rsidR="00512781" w:rsidRPr="00D60495" w:rsidRDefault="00512781" w:rsidP="00512781">
      <w:pPr>
        <w:ind w:left="720"/>
        <w:jc w:val="both"/>
        <w:rPr>
          <w:rFonts w:ascii="Times New Roman" w:hAnsi="Times New Roman" w:cs="Times New Roman"/>
          <w:sz w:val="22"/>
          <w:szCs w:val="22"/>
        </w:rPr>
      </w:pPr>
      <w:r w:rsidRPr="00D60495">
        <w:rPr>
          <w:rFonts w:ascii="Times New Roman" w:hAnsi="Times New Roman" w:cs="Times New Roman"/>
          <w:b/>
          <w:sz w:val="22"/>
          <w:szCs w:val="22"/>
        </w:rPr>
        <w:t>TAB 2:</w:t>
      </w:r>
      <w:r w:rsidRPr="00D60495">
        <w:rPr>
          <w:rFonts w:ascii="Times New Roman" w:hAnsi="Times New Roman" w:cs="Times New Roman"/>
          <w:sz w:val="22"/>
          <w:szCs w:val="22"/>
        </w:rPr>
        <w:t xml:space="preserve"> </w:t>
      </w:r>
      <w:r w:rsidRPr="00D60495">
        <w:rPr>
          <w:rFonts w:ascii="Times New Roman" w:hAnsi="Times New Roman" w:cs="Times New Roman"/>
          <w:b/>
          <w:i/>
          <w:sz w:val="22"/>
          <w:szCs w:val="22"/>
        </w:rPr>
        <w:t>Discretionary naturalisation on grounds of national interest</w:t>
      </w:r>
      <w:r w:rsidRPr="00D60495">
        <w:rPr>
          <w:rFonts w:ascii="Times New Roman" w:hAnsi="Times New Roman" w:cs="Times New Roman"/>
          <w:sz w:val="22"/>
          <w:szCs w:val="22"/>
        </w:rPr>
        <w:t xml:space="preserve"> – fully discretionary naturalisation, where authorities waive all or almost all naturalisation conditions. </w:t>
      </w:r>
    </w:p>
    <w:p w14:paraId="22E6F283" w14:textId="77777777" w:rsidR="00512781" w:rsidRPr="00D60495" w:rsidRDefault="00512781" w:rsidP="00512781">
      <w:pPr>
        <w:ind w:left="720"/>
        <w:jc w:val="both"/>
        <w:rPr>
          <w:rFonts w:ascii="Times New Roman" w:hAnsi="Times New Roman" w:cs="Times New Roman"/>
          <w:sz w:val="22"/>
          <w:szCs w:val="22"/>
        </w:rPr>
      </w:pPr>
    </w:p>
    <w:p w14:paraId="10F24E34" w14:textId="77777777" w:rsidR="00512781" w:rsidRPr="00D60495" w:rsidRDefault="00512781" w:rsidP="00512781">
      <w:pPr>
        <w:ind w:left="720"/>
        <w:jc w:val="both"/>
        <w:rPr>
          <w:rFonts w:ascii="Times New Roman" w:hAnsi="Times New Roman" w:cs="Times New Roman"/>
          <w:sz w:val="22"/>
          <w:szCs w:val="22"/>
        </w:rPr>
      </w:pPr>
      <w:r w:rsidRPr="00D60495">
        <w:rPr>
          <w:rFonts w:ascii="Times New Roman" w:hAnsi="Times New Roman" w:cs="Times New Roman"/>
          <w:b/>
          <w:sz w:val="22"/>
          <w:szCs w:val="22"/>
        </w:rPr>
        <w:t>TAB 3:</w:t>
      </w:r>
      <w:r w:rsidRPr="00D60495">
        <w:rPr>
          <w:rFonts w:ascii="Times New Roman" w:hAnsi="Times New Roman" w:cs="Times New Roman"/>
          <w:sz w:val="22"/>
          <w:szCs w:val="22"/>
        </w:rPr>
        <w:t xml:space="preserve"> </w:t>
      </w:r>
      <w:r w:rsidRPr="00D60495">
        <w:rPr>
          <w:rFonts w:ascii="Times New Roman" w:hAnsi="Times New Roman" w:cs="Times New Roman"/>
          <w:b/>
          <w:i/>
          <w:sz w:val="22"/>
          <w:szCs w:val="22"/>
        </w:rPr>
        <w:t>Discretionary facilitated naturalisation on grounds of national interest</w:t>
      </w:r>
      <w:r w:rsidRPr="00D60495">
        <w:rPr>
          <w:rFonts w:ascii="Times New Roman" w:hAnsi="Times New Roman" w:cs="Times New Roman"/>
          <w:sz w:val="22"/>
          <w:szCs w:val="22"/>
        </w:rPr>
        <w:t xml:space="preserve"> –discretionary naturalisation, where authorities </w:t>
      </w:r>
      <w:r w:rsidR="00783B8E" w:rsidRPr="00D60495">
        <w:rPr>
          <w:rFonts w:ascii="Times New Roman" w:hAnsi="Times New Roman" w:cs="Times New Roman"/>
          <w:sz w:val="22"/>
          <w:szCs w:val="22"/>
        </w:rPr>
        <w:t>waive</w:t>
      </w:r>
      <w:r w:rsidR="00880688" w:rsidRPr="00D60495">
        <w:rPr>
          <w:rFonts w:ascii="Times New Roman" w:hAnsi="Times New Roman" w:cs="Times New Roman"/>
          <w:sz w:val="22"/>
          <w:szCs w:val="22"/>
        </w:rPr>
        <w:t xml:space="preserve"> </w:t>
      </w:r>
      <w:r w:rsidRPr="00D60495">
        <w:rPr>
          <w:rFonts w:ascii="Times New Roman" w:hAnsi="Times New Roman" w:cs="Times New Roman"/>
          <w:sz w:val="22"/>
          <w:szCs w:val="22"/>
        </w:rPr>
        <w:t xml:space="preserve">some but not all naturalisation conditions. </w:t>
      </w:r>
    </w:p>
    <w:p w14:paraId="3AAEE6B9" w14:textId="77777777" w:rsidR="00512781" w:rsidRPr="00D60495" w:rsidRDefault="00512781" w:rsidP="00512781">
      <w:pPr>
        <w:jc w:val="both"/>
        <w:rPr>
          <w:rFonts w:ascii="Times New Roman" w:hAnsi="Times New Roman" w:cs="Times New Roman"/>
          <w:sz w:val="22"/>
          <w:szCs w:val="22"/>
        </w:rPr>
      </w:pPr>
    </w:p>
    <w:p w14:paraId="62D62C22"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Additional types of acquisition of citizenship:</w:t>
      </w:r>
    </w:p>
    <w:p w14:paraId="4D6807E4" w14:textId="77777777" w:rsidR="00B2442C" w:rsidRPr="00D60495" w:rsidRDefault="00512781" w:rsidP="00512781">
      <w:pPr>
        <w:jc w:val="both"/>
        <w:rPr>
          <w:rFonts w:ascii="Times New Roman" w:hAnsi="Times New Roman" w:cs="Times New Roman"/>
          <w:sz w:val="22"/>
          <w:szCs w:val="22"/>
        </w:rPr>
      </w:pPr>
      <w:r w:rsidRPr="00D60495">
        <w:rPr>
          <w:rFonts w:ascii="Times New Roman" w:hAnsi="Times New Roman" w:cs="Times New Roman"/>
          <w:sz w:val="22"/>
          <w:szCs w:val="22"/>
        </w:rPr>
        <w:t>In addition to these three modes, there are further 24 types of acquisition of citizenship in the European Union, which include the facilitation of conditions for certain ethnic groups (e.g., Sephardic Jews in Spain and Portugal; ethnic kin in Hungary, Bulgaria, Romania, Italy, etc.</w:t>
      </w:r>
      <w:r w:rsidR="00773F09" w:rsidRPr="00D60495">
        <w:rPr>
          <w:rFonts w:ascii="Times New Roman" w:hAnsi="Times New Roman" w:cs="Times New Roman"/>
          <w:sz w:val="22"/>
          <w:szCs w:val="22"/>
        </w:rPr>
        <w:t>; citizens of other EU Member States</w:t>
      </w:r>
      <w:r w:rsidRPr="00D60495">
        <w:rPr>
          <w:rFonts w:ascii="Times New Roman" w:hAnsi="Times New Roman" w:cs="Times New Roman"/>
          <w:sz w:val="22"/>
          <w:szCs w:val="22"/>
        </w:rPr>
        <w:t xml:space="preserve">); on grounds of family links (e.g., full or partial adoption); </w:t>
      </w:r>
      <w:r w:rsidR="00B2442C" w:rsidRPr="00D60495">
        <w:rPr>
          <w:rFonts w:ascii="Times New Roman" w:hAnsi="Times New Roman" w:cs="Times New Roman"/>
          <w:sz w:val="22"/>
          <w:szCs w:val="22"/>
        </w:rPr>
        <w:t xml:space="preserve">on humanitarian grounds (e.g., refugees, stateless, etc.); on grounds of socialisation (e.g., completion of school), etc. </w:t>
      </w:r>
      <w:r w:rsidR="00773F09" w:rsidRPr="00D60495">
        <w:rPr>
          <w:rFonts w:ascii="Times New Roman" w:hAnsi="Times New Roman" w:cs="Times New Roman"/>
          <w:sz w:val="22"/>
          <w:szCs w:val="22"/>
        </w:rPr>
        <w:t>Each of these 24 modes is accompanied by specific conditions</w:t>
      </w:r>
      <w:r w:rsidR="009B26F6" w:rsidRPr="00D60495">
        <w:rPr>
          <w:rFonts w:ascii="Times New Roman" w:hAnsi="Times New Roman" w:cs="Times New Roman"/>
          <w:sz w:val="22"/>
          <w:szCs w:val="22"/>
        </w:rPr>
        <w:t>, waivers, and procedures</w:t>
      </w:r>
      <w:r w:rsidR="00773F09" w:rsidRPr="00D60495">
        <w:rPr>
          <w:rFonts w:ascii="Times New Roman" w:hAnsi="Times New Roman" w:cs="Times New Roman"/>
          <w:sz w:val="22"/>
          <w:szCs w:val="22"/>
        </w:rPr>
        <w:t xml:space="preserve">. They are </w:t>
      </w:r>
      <w:r w:rsidR="00773F09" w:rsidRPr="00D60495">
        <w:rPr>
          <w:rFonts w:ascii="Times New Roman" w:hAnsi="Times New Roman" w:cs="Times New Roman"/>
          <w:b/>
          <w:sz w:val="22"/>
          <w:szCs w:val="22"/>
          <w:u w:val="single"/>
        </w:rPr>
        <w:t>not</w:t>
      </w:r>
      <w:r w:rsidR="00773F09" w:rsidRPr="00D60495">
        <w:rPr>
          <w:rFonts w:ascii="Times New Roman" w:hAnsi="Times New Roman" w:cs="Times New Roman"/>
          <w:sz w:val="22"/>
          <w:szCs w:val="22"/>
        </w:rPr>
        <w:t xml:space="preserve"> included in the scope of th</w:t>
      </w:r>
      <w:r w:rsidR="009B26F6" w:rsidRPr="00D60495">
        <w:rPr>
          <w:rFonts w:ascii="Times New Roman" w:hAnsi="Times New Roman" w:cs="Times New Roman"/>
          <w:sz w:val="22"/>
          <w:szCs w:val="22"/>
        </w:rPr>
        <w:t>is</w:t>
      </w:r>
      <w:r w:rsidR="00773F09" w:rsidRPr="00D60495">
        <w:rPr>
          <w:rFonts w:ascii="Times New Roman" w:hAnsi="Times New Roman" w:cs="Times New Roman"/>
          <w:sz w:val="22"/>
          <w:szCs w:val="22"/>
        </w:rPr>
        <w:t xml:space="preserve"> analysis. </w:t>
      </w:r>
    </w:p>
    <w:p w14:paraId="2B03931E" w14:textId="77777777" w:rsidR="00597A96" w:rsidRDefault="00597A96" w:rsidP="00512781">
      <w:pPr>
        <w:jc w:val="both"/>
        <w:rPr>
          <w:rFonts w:ascii="Times New Roman" w:hAnsi="Times New Roman" w:cs="Times New Roman"/>
          <w:sz w:val="22"/>
          <w:szCs w:val="22"/>
        </w:rPr>
      </w:pPr>
    </w:p>
    <w:p w14:paraId="432F9ED8" w14:textId="77777777" w:rsidR="00512F45" w:rsidRPr="00D60495" w:rsidRDefault="00512F45" w:rsidP="00512F45">
      <w:pPr>
        <w:jc w:val="both"/>
        <w:rPr>
          <w:rFonts w:ascii="Times New Roman" w:hAnsi="Times New Roman" w:cs="Times New Roman"/>
          <w:sz w:val="22"/>
          <w:szCs w:val="22"/>
        </w:rPr>
      </w:pPr>
      <w:r>
        <w:rPr>
          <w:rFonts w:ascii="Times New Roman" w:hAnsi="Times New Roman" w:cs="Times New Roman"/>
          <w:sz w:val="22"/>
          <w:szCs w:val="22"/>
        </w:rPr>
        <w:t>I</w:t>
      </w:r>
      <w:r w:rsidRPr="00D60495">
        <w:rPr>
          <w:rFonts w:ascii="Times New Roman" w:hAnsi="Times New Roman" w:cs="Times New Roman"/>
          <w:sz w:val="22"/>
          <w:szCs w:val="22"/>
        </w:rPr>
        <w:t xml:space="preserve">n the future and for another project, the European Commission might be interested in investigating in detail the programmes directed towards the naturalisation of ethnic kin. For instance, in Hungary, since the opening of the programme in 2010, one </w:t>
      </w:r>
      <w:proofErr w:type="spellStart"/>
      <w:r w:rsidRPr="00D60495">
        <w:rPr>
          <w:rFonts w:ascii="Times New Roman" w:hAnsi="Times New Roman" w:cs="Times New Roman"/>
          <w:sz w:val="22"/>
          <w:szCs w:val="22"/>
        </w:rPr>
        <w:t>million</w:t>
      </w:r>
      <w:proofErr w:type="spellEnd"/>
      <w:r w:rsidRPr="00D60495">
        <w:rPr>
          <w:rFonts w:ascii="Times New Roman" w:hAnsi="Times New Roman" w:cs="Times New Roman"/>
          <w:sz w:val="22"/>
          <w:szCs w:val="22"/>
        </w:rPr>
        <w:t xml:space="preserve"> of people have been naturalised in this way.</w:t>
      </w:r>
    </w:p>
    <w:p w14:paraId="14EDA01C" w14:textId="77777777" w:rsidR="00512F45" w:rsidRDefault="00512F45" w:rsidP="00512781">
      <w:pPr>
        <w:jc w:val="both"/>
        <w:rPr>
          <w:rFonts w:ascii="Times New Roman" w:hAnsi="Times New Roman" w:cs="Times New Roman"/>
          <w:sz w:val="22"/>
          <w:szCs w:val="22"/>
        </w:rPr>
      </w:pPr>
    </w:p>
    <w:p w14:paraId="7B240B44"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Note on provisions related to marriage:</w:t>
      </w:r>
    </w:p>
    <w:p w14:paraId="30D11947" w14:textId="77777777" w:rsidR="00597A96" w:rsidRPr="00D60495" w:rsidRDefault="00597A96" w:rsidP="00512781">
      <w:pPr>
        <w:jc w:val="both"/>
        <w:rPr>
          <w:rFonts w:ascii="Times New Roman" w:hAnsi="Times New Roman" w:cs="Times New Roman"/>
          <w:sz w:val="22"/>
          <w:szCs w:val="22"/>
        </w:rPr>
      </w:pPr>
      <w:r w:rsidRPr="00D60495">
        <w:rPr>
          <w:rFonts w:ascii="Times New Roman" w:hAnsi="Times New Roman" w:cs="Times New Roman"/>
          <w:sz w:val="22"/>
          <w:szCs w:val="22"/>
        </w:rPr>
        <w:t>In Tab 2 and Tab 3, provisions related to marriage have been marked as N/A when they were the same as in ‘ordinary naturalisation’</w:t>
      </w:r>
      <w:r w:rsidR="00783B8E" w:rsidRPr="00D60495">
        <w:rPr>
          <w:rFonts w:ascii="Times New Roman" w:hAnsi="Times New Roman" w:cs="Times New Roman"/>
          <w:sz w:val="22"/>
          <w:szCs w:val="22"/>
        </w:rPr>
        <w:t xml:space="preserve"> (Tab 1)</w:t>
      </w:r>
      <w:r w:rsidRPr="00D60495">
        <w:rPr>
          <w:rFonts w:ascii="Times New Roman" w:hAnsi="Times New Roman" w:cs="Times New Roman"/>
          <w:sz w:val="22"/>
          <w:szCs w:val="22"/>
        </w:rPr>
        <w:t xml:space="preserve">. Information </w:t>
      </w:r>
      <w:r w:rsidR="00783B8E" w:rsidRPr="00D60495">
        <w:rPr>
          <w:rFonts w:ascii="Times New Roman" w:hAnsi="Times New Roman" w:cs="Times New Roman"/>
          <w:sz w:val="22"/>
          <w:szCs w:val="22"/>
        </w:rPr>
        <w:t xml:space="preserve">was </w:t>
      </w:r>
      <w:r w:rsidR="001E0B91" w:rsidRPr="00D60495">
        <w:rPr>
          <w:rFonts w:ascii="Times New Roman" w:hAnsi="Times New Roman" w:cs="Times New Roman"/>
          <w:sz w:val="22"/>
          <w:szCs w:val="22"/>
        </w:rPr>
        <w:t>added when there were special naturalisation provisions applying to spouses of applicants admitted through these types of naturalisation.</w:t>
      </w:r>
    </w:p>
    <w:p w14:paraId="60C39015" w14:textId="77777777" w:rsidR="00C10238" w:rsidRDefault="00C10238" w:rsidP="00512781">
      <w:pPr>
        <w:jc w:val="both"/>
        <w:rPr>
          <w:rFonts w:ascii="Times New Roman" w:hAnsi="Times New Roman" w:cs="Times New Roman"/>
          <w:sz w:val="22"/>
          <w:szCs w:val="22"/>
        </w:rPr>
      </w:pPr>
    </w:p>
    <w:p w14:paraId="497B66EC"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Note on scrutiny mechanisms:</w:t>
      </w:r>
    </w:p>
    <w:p w14:paraId="1E2837CA" w14:textId="77777777" w:rsidR="00C10238" w:rsidRPr="00D60495" w:rsidRDefault="00C10238" w:rsidP="00512781">
      <w:pPr>
        <w:jc w:val="both"/>
        <w:rPr>
          <w:rFonts w:ascii="Times New Roman" w:hAnsi="Times New Roman" w:cs="Times New Roman"/>
          <w:sz w:val="22"/>
          <w:szCs w:val="22"/>
        </w:rPr>
      </w:pPr>
      <w:r w:rsidRPr="00D60495">
        <w:rPr>
          <w:rFonts w:ascii="Times New Roman" w:hAnsi="Times New Roman" w:cs="Times New Roman"/>
          <w:sz w:val="22"/>
          <w:szCs w:val="22"/>
        </w:rPr>
        <w:t>In the column ‘scrutiny mechanisms</w:t>
      </w:r>
      <w:r w:rsidR="00783B8E" w:rsidRPr="00D60495">
        <w:rPr>
          <w:rFonts w:ascii="Times New Roman" w:hAnsi="Times New Roman" w:cs="Times New Roman"/>
          <w:sz w:val="22"/>
          <w:szCs w:val="22"/>
        </w:rPr>
        <w:t xml:space="preserve"> or</w:t>
      </w:r>
      <w:r w:rsidRPr="00D60495">
        <w:rPr>
          <w:rFonts w:ascii="Times New Roman" w:hAnsi="Times New Roman" w:cs="Times New Roman"/>
          <w:sz w:val="22"/>
          <w:szCs w:val="22"/>
        </w:rPr>
        <w:t xml:space="preserve"> reporting obligations</w:t>
      </w:r>
      <w:r w:rsidR="00783B8E" w:rsidRPr="00D60495">
        <w:rPr>
          <w:rFonts w:ascii="Times New Roman" w:hAnsi="Times New Roman" w:cs="Times New Roman"/>
          <w:sz w:val="22"/>
          <w:szCs w:val="22"/>
        </w:rPr>
        <w:t>’ (cell H</w:t>
      </w:r>
      <w:r w:rsidR="00F71A06" w:rsidRPr="00D60495">
        <w:rPr>
          <w:rFonts w:ascii="Times New Roman" w:hAnsi="Times New Roman" w:cs="Times New Roman"/>
          <w:sz w:val="22"/>
          <w:szCs w:val="22"/>
        </w:rPr>
        <w:t>3</w:t>
      </w:r>
      <w:r w:rsidR="00783B8E" w:rsidRPr="00D60495">
        <w:rPr>
          <w:rFonts w:ascii="Times New Roman" w:hAnsi="Times New Roman" w:cs="Times New Roman"/>
          <w:sz w:val="22"/>
          <w:szCs w:val="22"/>
        </w:rPr>
        <w:t>)</w:t>
      </w:r>
      <w:r w:rsidRPr="00D60495">
        <w:rPr>
          <w:rFonts w:ascii="Times New Roman" w:hAnsi="Times New Roman" w:cs="Times New Roman"/>
          <w:sz w:val="22"/>
          <w:szCs w:val="22"/>
        </w:rPr>
        <w:t xml:space="preserve"> there is normally no direct scrutiny over naturalisation by state institutions. However, there might be possibilities for judicial review (</w:t>
      </w:r>
      <w:r w:rsidR="00051439">
        <w:rPr>
          <w:rFonts w:ascii="Times New Roman" w:hAnsi="Times New Roman" w:cs="Times New Roman"/>
          <w:sz w:val="22"/>
          <w:szCs w:val="22"/>
        </w:rPr>
        <w:t xml:space="preserve">the </w:t>
      </w:r>
      <w:r w:rsidRPr="00D60495">
        <w:rPr>
          <w:rFonts w:ascii="Times New Roman" w:hAnsi="Times New Roman" w:cs="Times New Roman"/>
          <w:sz w:val="22"/>
          <w:szCs w:val="22"/>
        </w:rPr>
        <w:t>onus is on the applicant, not the state), and these have been inserted in the column.</w:t>
      </w:r>
    </w:p>
    <w:p w14:paraId="07F101E0" w14:textId="77777777" w:rsidR="009B26F6" w:rsidRDefault="009B26F6" w:rsidP="00512781">
      <w:pPr>
        <w:jc w:val="both"/>
        <w:rPr>
          <w:rFonts w:ascii="Times New Roman" w:hAnsi="Times New Roman" w:cs="Times New Roman"/>
          <w:sz w:val="22"/>
          <w:szCs w:val="22"/>
        </w:rPr>
      </w:pPr>
    </w:p>
    <w:p w14:paraId="43E19869"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Statistical data:</w:t>
      </w:r>
    </w:p>
    <w:p w14:paraId="40A0CA2A" w14:textId="574E2ECD" w:rsidR="009B26F6" w:rsidRDefault="00604C40" w:rsidP="00512781">
      <w:pPr>
        <w:jc w:val="both"/>
        <w:rPr>
          <w:rFonts w:ascii="Times New Roman" w:hAnsi="Times New Roman" w:cs="Times New Roman"/>
          <w:sz w:val="22"/>
          <w:szCs w:val="22"/>
        </w:rPr>
      </w:pPr>
      <w:r w:rsidRPr="00604C40">
        <w:rPr>
          <w:rFonts w:ascii="Times New Roman" w:hAnsi="Times New Roman" w:cs="Times New Roman"/>
          <w:sz w:val="22"/>
          <w:szCs w:val="22"/>
          <w:u w:val="single"/>
        </w:rPr>
        <w:t>Statistical data provided in January 2018:</w:t>
      </w:r>
      <w:r>
        <w:rPr>
          <w:rFonts w:ascii="Times New Roman" w:hAnsi="Times New Roman" w:cs="Times New Roman"/>
          <w:sz w:val="22"/>
          <w:szCs w:val="22"/>
        </w:rPr>
        <w:t xml:space="preserve"> </w:t>
      </w:r>
      <w:r w:rsidR="00E962EF" w:rsidRPr="00D60495">
        <w:rPr>
          <w:rFonts w:ascii="Times New Roman" w:hAnsi="Times New Roman" w:cs="Times New Roman"/>
          <w:sz w:val="22"/>
          <w:szCs w:val="22"/>
        </w:rPr>
        <w:t>Statistical data, which are available through national statistical agencies and Eurostat are marked as ‘cumulative’. This means that such data include information on the number of all naturalised people in a given Member State and are not disaggregated by naturalisation mode. Requests for free access to information have been sent to national statistical agencies and governments for disaggregated data by naturalisation type</w:t>
      </w:r>
      <w:r w:rsidR="004B3614">
        <w:rPr>
          <w:rFonts w:ascii="Times New Roman" w:hAnsi="Times New Roman" w:cs="Times New Roman"/>
          <w:sz w:val="22"/>
          <w:szCs w:val="22"/>
        </w:rPr>
        <w:t xml:space="preserve"> (see below)</w:t>
      </w:r>
      <w:r w:rsidR="00E962EF" w:rsidRPr="00D60495">
        <w:rPr>
          <w:rFonts w:ascii="Times New Roman" w:hAnsi="Times New Roman" w:cs="Times New Roman"/>
          <w:sz w:val="22"/>
          <w:szCs w:val="22"/>
        </w:rPr>
        <w:t>.</w:t>
      </w:r>
    </w:p>
    <w:p w14:paraId="55627993" w14:textId="3DDEEA3F" w:rsidR="00604C40" w:rsidRDefault="00604C40" w:rsidP="00512781">
      <w:pPr>
        <w:jc w:val="both"/>
        <w:rPr>
          <w:rFonts w:ascii="Times New Roman" w:hAnsi="Times New Roman" w:cs="Times New Roman"/>
          <w:sz w:val="22"/>
          <w:szCs w:val="22"/>
        </w:rPr>
      </w:pPr>
    </w:p>
    <w:p w14:paraId="2BCD57AB" w14:textId="0471D209" w:rsidR="00604C40" w:rsidRDefault="00604C40" w:rsidP="00512781">
      <w:pPr>
        <w:jc w:val="both"/>
        <w:rPr>
          <w:rFonts w:ascii="Times New Roman" w:hAnsi="Times New Roman" w:cs="Times New Roman"/>
          <w:sz w:val="22"/>
          <w:szCs w:val="22"/>
        </w:rPr>
      </w:pPr>
      <w:r>
        <w:rPr>
          <w:rFonts w:ascii="Times New Roman" w:hAnsi="Times New Roman" w:cs="Times New Roman"/>
          <w:sz w:val="22"/>
          <w:szCs w:val="22"/>
          <w:u w:val="single"/>
        </w:rPr>
        <w:t>Statistical data updated in September 2018</w:t>
      </w:r>
      <w:r>
        <w:rPr>
          <w:rFonts w:ascii="Times New Roman" w:hAnsi="Times New Roman" w:cs="Times New Roman"/>
          <w:sz w:val="22"/>
          <w:szCs w:val="22"/>
        </w:rPr>
        <w:t xml:space="preserve">: The Table has been completed by the data provided by the competent authorities responsible for granting naturalisation. The data was obtained through the stakeholder consultation completed in March 2018. This data is identified by the preceding ‘Data from CA’ indication. In some instances (e.g. BG, CY, CZ, EE, FR, EL, ES, IE, PT) the number of filed applications in a year does not correlate with the number of </w:t>
      </w:r>
      <w:r>
        <w:rPr>
          <w:rFonts w:ascii="Times New Roman" w:hAnsi="Times New Roman" w:cs="Times New Roman"/>
          <w:sz w:val="22"/>
          <w:szCs w:val="22"/>
        </w:rPr>
        <w:lastRenderedPageBreak/>
        <w:t>successful/unsuccessful applications</w:t>
      </w:r>
      <w:r w:rsidR="00575D17">
        <w:rPr>
          <w:rFonts w:ascii="Times New Roman" w:hAnsi="Times New Roman" w:cs="Times New Roman"/>
          <w:sz w:val="22"/>
          <w:szCs w:val="22"/>
        </w:rPr>
        <w:t xml:space="preserve"> (marked in red font</w:t>
      </w:r>
      <w:bookmarkStart w:id="0" w:name="_GoBack"/>
      <w:bookmarkEnd w:id="0"/>
      <w:r w:rsidR="00575D17">
        <w:rPr>
          <w:rFonts w:ascii="Times New Roman" w:hAnsi="Times New Roman" w:cs="Times New Roman"/>
          <w:sz w:val="22"/>
          <w:szCs w:val="22"/>
        </w:rPr>
        <w:t>)</w:t>
      </w:r>
      <w:r>
        <w:rPr>
          <w:rFonts w:ascii="Times New Roman" w:hAnsi="Times New Roman" w:cs="Times New Roman"/>
          <w:sz w:val="22"/>
          <w:szCs w:val="22"/>
        </w:rPr>
        <w:t>. Some competent authorities indicate that this is due to the fact that the number of successful/unsuccessful applications may also reflect applications pending from other years. Although this has not been indicated in all instances where this is the case, it is assumed that the lack of correlation is due to the same cause.</w:t>
      </w:r>
    </w:p>
    <w:p w14:paraId="3C6E9BE4" w14:textId="7A5F5430" w:rsidR="00604C40" w:rsidRDefault="00604C40" w:rsidP="00512781">
      <w:pPr>
        <w:jc w:val="both"/>
        <w:rPr>
          <w:rFonts w:ascii="Times New Roman" w:hAnsi="Times New Roman" w:cs="Times New Roman"/>
          <w:sz w:val="22"/>
          <w:szCs w:val="22"/>
        </w:rPr>
      </w:pPr>
    </w:p>
    <w:p w14:paraId="737874D0" w14:textId="1DD60089" w:rsidR="00E962EF" w:rsidRDefault="00604C40" w:rsidP="00512781">
      <w:pPr>
        <w:jc w:val="both"/>
        <w:rPr>
          <w:rFonts w:ascii="Times New Roman" w:hAnsi="Times New Roman" w:cs="Times New Roman"/>
          <w:sz w:val="22"/>
          <w:szCs w:val="22"/>
        </w:rPr>
      </w:pPr>
      <w:r>
        <w:rPr>
          <w:rFonts w:ascii="Times New Roman" w:hAnsi="Times New Roman" w:cs="Times New Roman"/>
          <w:sz w:val="22"/>
          <w:szCs w:val="22"/>
        </w:rPr>
        <w:t xml:space="preserve">The request for statistical information was not answered by the Italian and Polish authorities. </w:t>
      </w:r>
    </w:p>
    <w:p w14:paraId="35DF395F" w14:textId="77777777" w:rsidR="00604C40" w:rsidRDefault="00604C40" w:rsidP="00512781">
      <w:pPr>
        <w:jc w:val="both"/>
        <w:rPr>
          <w:rFonts w:ascii="Times New Roman" w:hAnsi="Times New Roman" w:cs="Times New Roman"/>
          <w:i/>
          <w:sz w:val="22"/>
          <w:szCs w:val="22"/>
        </w:rPr>
      </w:pPr>
    </w:p>
    <w:p w14:paraId="6F263B4F"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Some procedures are set out in internal documents:</w:t>
      </w:r>
    </w:p>
    <w:p w14:paraId="28BE2755" w14:textId="77777777" w:rsidR="00B2442C" w:rsidRPr="00D60495" w:rsidRDefault="00E962EF" w:rsidP="00512781">
      <w:pPr>
        <w:jc w:val="both"/>
        <w:rPr>
          <w:rFonts w:ascii="Times New Roman" w:hAnsi="Times New Roman" w:cs="Times New Roman"/>
          <w:sz w:val="22"/>
          <w:szCs w:val="22"/>
        </w:rPr>
      </w:pPr>
      <w:r w:rsidRPr="00D60495">
        <w:rPr>
          <w:rFonts w:ascii="Times New Roman" w:hAnsi="Times New Roman" w:cs="Times New Roman"/>
          <w:sz w:val="22"/>
          <w:szCs w:val="22"/>
        </w:rPr>
        <w:t xml:space="preserve">As naturalisation is a highly discretionary power of </w:t>
      </w:r>
      <w:r w:rsidR="00783B8E" w:rsidRPr="00D60495">
        <w:rPr>
          <w:rFonts w:ascii="Times New Roman" w:hAnsi="Times New Roman" w:cs="Times New Roman"/>
          <w:sz w:val="22"/>
          <w:szCs w:val="22"/>
        </w:rPr>
        <w:t xml:space="preserve">the </w:t>
      </w:r>
      <w:r w:rsidRPr="00D60495">
        <w:rPr>
          <w:rFonts w:ascii="Times New Roman" w:hAnsi="Times New Roman" w:cs="Times New Roman"/>
          <w:sz w:val="22"/>
          <w:szCs w:val="22"/>
        </w:rPr>
        <w:t>state (often referred to as ‘the bastion of the state’s sovereignty’)</w:t>
      </w:r>
      <w:r w:rsidR="00597A96" w:rsidRPr="00D60495">
        <w:rPr>
          <w:rFonts w:ascii="Times New Roman" w:hAnsi="Times New Roman" w:cs="Times New Roman"/>
          <w:sz w:val="22"/>
          <w:szCs w:val="22"/>
        </w:rPr>
        <w:t xml:space="preserve">, many procedures, especially those related to security checks are regulated by internal administrative rules and procedures, which are not available to the public. </w:t>
      </w:r>
    </w:p>
    <w:p w14:paraId="21F7B56F" w14:textId="77777777" w:rsidR="00F71A06" w:rsidRPr="00D60495" w:rsidRDefault="00F71A06" w:rsidP="00512781">
      <w:pPr>
        <w:jc w:val="both"/>
        <w:rPr>
          <w:rFonts w:ascii="Times New Roman" w:hAnsi="Times New Roman" w:cs="Times New Roman"/>
          <w:sz w:val="22"/>
          <w:szCs w:val="22"/>
        </w:rPr>
      </w:pPr>
    </w:p>
    <w:p w14:paraId="36F816BA"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Note on checking criminal records:</w:t>
      </w:r>
    </w:p>
    <w:p w14:paraId="668CA846" w14:textId="77777777" w:rsidR="00F71A06" w:rsidRPr="00D60495" w:rsidRDefault="002D4318" w:rsidP="00512781">
      <w:pPr>
        <w:jc w:val="both"/>
        <w:rPr>
          <w:rFonts w:ascii="Times New Roman" w:hAnsi="Times New Roman" w:cs="Times New Roman"/>
          <w:sz w:val="22"/>
          <w:szCs w:val="22"/>
        </w:rPr>
      </w:pPr>
      <w:r>
        <w:rPr>
          <w:rFonts w:ascii="Times New Roman" w:hAnsi="Times New Roman" w:cs="Times New Roman"/>
          <w:sz w:val="22"/>
          <w:szCs w:val="22"/>
        </w:rPr>
        <w:t>In most Member States, checking the criminal records of the naturalisation applicant is a discretionary power of the competent national authorities. Therefore,</w:t>
      </w:r>
      <w:r w:rsidR="00F71A06" w:rsidRPr="00D60495">
        <w:rPr>
          <w:rFonts w:ascii="Times New Roman" w:hAnsi="Times New Roman" w:cs="Times New Roman"/>
          <w:sz w:val="22"/>
          <w:szCs w:val="22"/>
        </w:rPr>
        <w:t xml:space="preserve"> in all three tabs</w:t>
      </w:r>
      <w:r>
        <w:rPr>
          <w:rFonts w:ascii="Times New Roman" w:hAnsi="Times New Roman" w:cs="Times New Roman"/>
          <w:sz w:val="22"/>
          <w:szCs w:val="22"/>
        </w:rPr>
        <w:t xml:space="preserve"> of the Excel table Deliverable A</w:t>
      </w:r>
      <w:r w:rsidR="00F71A06" w:rsidRPr="00D60495">
        <w:rPr>
          <w:rFonts w:ascii="Times New Roman" w:hAnsi="Times New Roman" w:cs="Times New Roman"/>
          <w:sz w:val="22"/>
          <w:szCs w:val="22"/>
        </w:rPr>
        <w:t>, in most instances, column X</w:t>
      </w:r>
      <w:r>
        <w:rPr>
          <w:rFonts w:ascii="Times New Roman" w:hAnsi="Times New Roman" w:cs="Times New Roman"/>
          <w:sz w:val="22"/>
          <w:szCs w:val="22"/>
        </w:rPr>
        <w:t xml:space="preserve"> (</w:t>
      </w:r>
      <w:r w:rsidR="00F71A06" w:rsidRPr="00D60495">
        <w:rPr>
          <w:rFonts w:ascii="Times New Roman" w:hAnsi="Times New Roman" w:cs="Times New Roman"/>
          <w:sz w:val="22"/>
          <w:szCs w:val="22"/>
        </w:rPr>
        <w:t>check of EU and international databases when carrying out the check of criminal records</w:t>
      </w:r>
      <w:r>
        <w:rPr>
          <w:rFonts w:ascii="Times New Roman" w:hAnsi="Times New Roman" w:cs="Times New Roman"/>
          <w:sz w:val="22"/>
          <w:szCs w:val="22"/>
        </w:rPr>
        <w:t xml:space="preserve">) </w:t>
      </w:r>
      <w:r w:rsidR="00F71A06" w:rsidRPr="00D60495">
        <w:rPr>
          <w:rFonts w:ascii="Times New Roman" w:hAnsi="Times New Roman" w:cs="Times New Roman"/>
          <w:sz w:val="22"/>
          <w:szCs w:val="22"/>
        </w:rPr>
        <w:t>indicates that this is a discretionary power of the competent authorities.</w:t>
      </w:r>
      <w:r w:rsidR="008D0A36">
        <w:rPr>
          <w:rFonts w:ascii="Times New Roman" w:hAnsi="Times New Roman" w:cs="Times New Roman"/>
          <w:sz w:val="22"/>
          <w:szCs w:val="22"/>
        </w:rPr>
        <w:t xml:space="preserve"> There is, however, no source indicating the specific databases that national competent authorities </w:t>
      </w:r>
      <w:r>
        <w:rPr>
          <w:rFonts w:ascii="Times New Roman" w:hAnsi="Times New Roman" w:cs="Times New Roman"/>
          <w:sz w:val="22"/>
          <w:szCs w:val="22"/>
        </w:rPr>
        <w:t>consult in checking the criminal records of the naturalisation applicant.</w:t>
      </w:r>
    </w:p>
    <w:p w14:paraId="3D2062F1" w14:textId="77777777" w:rsidR="00F71A06" w:rsidRPr="00D60495" w:rsidRDefault="00F71A06" w:rsidP="00512781">
      <w:pPr>
        <w:jc w:val="both"/>
        <w:rPr>
          <w:rFonts w:ascii="Times New Roman" w:hAnsi="Times New Roman" w:cs="Times New Roman"/>
          <w:sz w:val="22"/>
          <w:szCs w:val="22"/>
        </w:rPr>
      </w:pPr>
    </w:p>
    <w:p w14:paraId="1E808567"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Note on definitions of habitual, continuous and legal residence:</w:t>
      </w:r>
    </w:p>
    <w:p w14:paraId="438A8FB1" w14:textId="77777777" w:rsidR="00F71A06" w:rsidRDefault="00F71A06" w:rsidP="00512781">
      <w:pPr>
        <w:jc w:val="both"/>
        <w:rPr>
          <w:rFonts w:ascii="Times New Roman" w:hAnsi="Times New Roman" w:cs="Times New Roman"/>
          <w:sz w:val="22"/>
          <w:szCs w:val="22"/>
        </w:rPr>
      </w:pPr>
      <w:r w:rsidRPr="00D60495">
        <w:rPr>
          <w:rFonts w:ascii="Times New Roman" w:hAnsi="Times New Roman" w:cs="Times New Roman"/>
          <w:sz w:val="22"/>
          <w:szCs w:val="22"/>
        </w:rPr>
        <w:t xml:space="preserve">Furthermore, the definitions of what constitutes “habitual”, “continuous”, “legal” residence under the national legislations have not been included as this </w:t>
      </w:r>
      <w:r w:rsidR="002D4318">
        <w:rPr>
          <w:rFonts w:ascii="Times New Roman" w:hAnsi="Times New Roman" w:cs="Times New Roman"/>
          <w:sz w:val="22"/>
          <w:szCs w:val="22"/>
        </w:rPr>
        <w:t xml:space="preserve">varies across Member States and it </w:t>
      </w:r>
      <w:r w:rsidRPr="00D60495">
        <w:rPr>
          <w:rFonts w:ascii="Times New Roman" w:hAnsi="Times New Roman" w:cs="Times New Roman"/>
          <w:sz w:val="22"/>
          <w:szCs w:val="22"/>
        </w:rPr>
        <w:t>will be further analysed in Deliverable B and Deliverable D.</w:t>
      </w:r>
    </w:p>
    <w:p w14:paraId="35B759E2" w14:textId="77777777" w:rsidR="008D0A36" w:rsidRDefault="008D0A36" w:rsidP="00512781">
      <w:pPr>
        <w:jc w:val="both"/>
        <w:rPr>
          <w:rFonts w:ascii="Times New Roman" w:hAnsi="Times New Roman" w:cs="Times New Roman"/>
          <w:sz w:val="22"/>
          <w:szCs w:val="22"/>
        </w:rPr>
      </w:pPr>
    </w:p>
    <w:p w14:paraId="5600121C"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Cross-references where legal provisions are extensive:</w:t>
      </w:r>
    </w:p>
    <w:p w14:paraId="5BC3A24C" w14:textId="77777777" w:rsidR="008D0A36" w:rsidRPr="00D60495" w:rsidRDefault="008D0A36" w:rsidP="00512781">
      <w:pPr>
        <w:jc w:val="both"/>
        <w:rPr>
          <w:rFonts w:ascii="Times New Roman" w:hAnsi="Times New Roman" w:cs="Times New Roman"/>
          <w:sz w:val="22"/>
          <w:szCs w:val="22"/>
        </w:rPr>
      </w:pPr>
      <w:r>
        <w:rPr>
          <w:rFonts w:ascii="Times New Roman" w:hAnsi="Times New Roman" w:cs="Times New Roman"/>
          <w:sz w:val="22"/>
          <w:szCs w:val="22"/>
        </w:rPr>
        <w:t xml:space="preserve">In instances where the legal provision </w:t>
      </w:r>
      <w:r w:rsidR="00051439">
        <w:rPr>
          <w:rFonts w:ascii="Times New Roman" w:hAnsi="Times New Roman" w:cs="Times New Roman"/>
          <w:sz w:val="22"/>
          <w:szCs w:val="22"/>
        </w:rPr>
        <w:t>is</w:t>
      </w:r>
      <w:r>
        <w:rPr>
          <w:rFonts w:ascii="Times New Roman" w:hAnsi="Times New Roman" w:cs="Times New Roman"/>
          <w:sz w:val="22"/>
          <w:szCs w:val="22"/>
        </w:rPr>
        <w:t xml:space="preserve"> extensive, only a cross-reference to the referred legal provision has been included. This </w:t>
      </w:r>
      <w:r w:rsidR="00051439">
        <w:rPr>
          <w:rFonts w:ascii="Times New Roman" w:hAnsi="Times New Roman" w:cs="Times New Roman"/>
          <w:sz w:val="22"/>
          <w:szCs w:val="22"/>
        </w:rPr>
        <w:t>relates mainly to</w:t>
      </w:r>
      <w:r>
        <w:rPr>
          <w:rFonts w:ascii="Times New Roman" w:hAnsi="Times New Roman" w:cs="Times New Roman"/>
          <w:sz w:val="22"/>
          <w:szCs w:val="22"/>
        </w:rPr>
        <w:t xml:space="preserve"> exceptions to the requirement of renunciation of another nationality and the cases in which individuals can be excluded from their eligibility to naturalisation due to </w:t>
      </w:r>
      <w:r w:rsidR="00051439">
        <w:rPr>
          <w:rFonts w:ascii="Times New Roman" w:hAnsi="Times New Roman" w:cs="Times New Roman"/>
          <w:sz w:val="22"/>
          <w:szCs w:val="22"/>
        </w:rPr>
        <w:t xml:space="preserve">a </w:t>
      </w:r>
      <w:r>
        <w:rPr>
          <w:rFonts w:ascii="Times New Roman" w:hAnsi="Times New Roman" w:cs="Times New Roman"/>
          <w:sz w:val="22"/>
          <w:szCs w:val="22"/>
        </w:rPr>
        <w:t>criminal record.</w:t>
      </w:r>
    </w:p>
    <w:p w14:paraId="7B362D8D" w14:textId="77777777" w:rsidR="00F71A06" w:rsidRDefault="00F71A06" w:rsidP="00512781">
      <w:pPr>
        <w:jc w:val="both"/>
        <w:rPr>
          <w:rFonts w:ascii="Times New Roman" w:hAnsi="Times New Roman" w:cs="Times New Roman"/>
          <w:sz w:val="22"/>
          <w:szCs w:val="22"/>
        </w:rPr>
      </w:pPr>
    </w:p>
    <w:p w14:paraId="687E624C" w14:textId="77777777" w:rsidR="009C4DD7" w:rsidRPr="00512F45" w:rsidRDefault="009C4DD7" w:rsidP="00512781">
      <w:pPr>
        <w:jc w:val="both"/>
        <w:rPr>
          <w:rFonts w:ascii="Times New Roman" w:hAnsi="Times New Roman" w:cs="Times New Roman"/>
          <w:i/>
          <w:sz w:val="22"/>
          <w:szCs w:val="22"/>
        </w:rPr>
      </w:pPr>
      <w:r>
        <w:rPr>
          <w:rFonts w:ascii="Times New Roman" w:hAnsi="Times New Roman" w:cs="Times New Roman"/>
          <w:i/>
          <w:sz w:val="22"/>
          <w:szCs w:val="22"/>
        </w:rPr>
        <w:t>Note on the Maltese entry (discretionary naturalisation):</w:t>
      </w:r>
    </w:p>
    <w:p w14:paraId="538DE2FD" w14:textId="1957CF9A" w:rsidR="00F71A06" w:rsidRDefault="00F71A06" w:rsidP="00512781">
      <w:pPr>
        <w:jc w:val="both"/>
        <w:rPr>
          <w:rFonts w:ascii="Times New Roman" w:hAnsi="Times New Roman" w:cs="Times New Roman"/>
          <w:sz w:val="22"/>
          <w:szCs w:val="22"/>
        </w:rPr>
      </w:pPr>
      <w:r w:rsidRPr="00D60495">
        <w:rPr>
          <w:rFonts w:ascii="Times New Roman" w:hAnsi="Times New Roman" w:cs="Times New Roman"/>
          <w:sz w:val="22"/>
          <w:szCs w:val="22"/>
        </w:rPr>
        <w:t>Finally, in Tab 2 (discretionary naturalisation), there seems to be a contradiction in the Maltese legislation</w:t>
      </w:r>
      <w:r w:rsidR="008D0A36">
        <w:rPr>
          <w:rFonts w:ascii="Times New Roman" w:hAnsi="Times New Roman" w:cs="Times New Roman"/>
          <w:sz w:val="22"/>
          <w:szCs w:val="22"/>
        </w:rPr>
        <w:t xml:space="preserve"> regarding the requirements on residence, criminal record checks and marriage</w:t>
      </w:r>
      <w:r w:rsidRPr="00D60495">
        <w:rPr>
          <w:rFonts w:ascii="Times New Roman" w:hAnsi="Times New Roman" w:cs="Times New Roman"/>
          <w:sz w:val="22"/>
          <w:szCs w:val="22"/>
        </w:rPr>
        <w:t xml:space="preserve">. However, </w:t>
      </w:r>
      <w:r w:rsidR="008D0A36">
        <w:rPr>
          <w:rFonts w:ascii="Times New Roman" w:hAnsi="Times New Roman" w:cs="Times New Roman"/>
          <w:sz w:val="22"/>
          <w:szCs w:val="22"/>
        </w:rPr>
        <w:t>this is due to the fact that there are two legal provisions regulating discretionary naturalisation in Malta: Article 10(9)(a)</w:t>
      </w:r>
      <w:r w:rsidR="00027EE4">
        <w:rPr>
          <w:rFonts w:ascii="Times New Roman" w:hAnsi="Times New Roman" w:cs="Times New Roman"/>
          <w:sz w:val="22"/>
          <w:szCs w:val="22"/>
        </w:rPr>
        <w:t xml:space="preserve"> of the Maltese Citizenship Act</w:t>
      </w:r>
      <w:r w:rsidR="008D0A36">
        <w:rPr>
          <w:rFonts w:ascii="Times New Roman" w:hAnsi="Times New Roman" w:cs="Times New Roman"/>
          <w:sz w:val="22"/>
          <w:szCs w:val="22"/>
        </w:rPr>
        <w:t xml:space="preserve"> which grants naturalisation to individuals who have rendered the services listed</w:t>
      </w:r>
      <w:r w:rsidR="009C4DD7">
        <w:rPr>
          <w:rFonts w:ascii="Times New Roman" w:hAnsi="Times New Roman" w:cs="Times New Roman"/>
          <w:sz w:val="22"/>
          <w:szCs w:val="22"/>
        </w:rPr>
        <w:t xml:space="preserve"> </w:t>
      </w:r>
      <w:r w:rsidR="00027EE4">
        <w:rPr>
          <w:rFonts w:ascii="Times New Roman" w:hAnsi="Times New Roman" w:cs="Times New Roman"/>
          <w:sz w:val="22"/>
          <w:szCs w:val="22"/>
        </w:rPr>
        <w:t xml:space="preserve">therein and Article 10(9)(c) of the same Act, which was recently added, and which refers to different services. These </w:t>
      </w:r>
      <w:r w:rsidR="00027EE4" w:rsidRPr="00D60495">
        <w:rPr>
          <w:rFonts w:ascii="Times New Roman" w:hAnsi="Times New Roman" w:cs="Times New Roman"/>
          <w:sz w:val="22"/>
          <w:szCs w:val="22"/>
        </w:rPr>
        <w:t>provisions simply regulate different cases and</w:t>
      </w:r>
      <w:r w:rsidR="00027EE4">
        <w:rPr>
          <w:rFonts w:ascii="Times New Roman" w:hAnsi="Times New Roman" w:cs="Times New Roman"/>
          <w:sz w:val="22"/>
          <w:szCs w:val="22"/>
        </w:rPr>
        <w:t xml:space="preserve"> therefore set out</w:t>
      </w:r>
      <w:r w:rsidR="00027EE4" w:rsidRPr="00D60495">
        <w:rPr>
          <w:rFonts w:ascii="Times New Roman" w:hAnsi="Times New Roman" w:cs="Times New Roman"/>
          <w:sz w:val="22"/>
          <w:szCs w:val="22"/>
        </w:rPr>
        <w:t xml:space="preserve"> di</w:t>
      </w:r>
      <w:r w:rsidR="00027EE4">
        <w:rPr>
          <w:rFonts w:ascii="Times New Roman" w:hAnsi="Times New Roman" w:cs="Times New Roman"/>
          <w:sz w:val="22"/>
          <w:szCs w:val="22"/>
        </w:rPr>
        <w:t>stinct</w:t>
      </w:r>
      <w:r w:rsidR="00027EE4" w:rsidRPr="00D60495">
        <w:rPr>
          <w:rFonts w:ascii="Times New Roman" w:hAnsi="Times New Roman" w:cs="Times New Roman"/>
          <w:sz w:val="22"/>
          <w:szCs w:val="22"/>
        </w:rPr>
        <w:t xml:space="preserve"> requirements.</w:t>
      </w:r>
      <w:r w:rsidR="00027EE4">
        <w:rPr>
          <w:rFonts w:ascii="Times New Roman" w:hAnsi="Times New Roman" w:cs="Times New Roman"/>
          <w:sz w:val="22"/>
          <w:szCs w:val="22"/>
        </w:rPr>
        <w:t xml:space="preserve"> This </w:t>
      </w:r>
      <w:r w:rsidRPr="00D60495">
        <w:rPr>
          <w:rFonts w:ascii="Times New Roman" w:hAnsi="Times New Roman" w:cs="Times New Roman"/>
          <w:sz w:val="22"/>
          <w:szCs w:val="22"/>
        </w:rPr>
        <w:t xml:space="preserve">has been explained in the </w:t>
      </w:r>
      <w:proofErr w:type="gramStart"/>
      <w:r w:rsidRPr="00D60495">
        <w:rPr>
          <w:rFonts w:ascii="Times New Roman" w:hAnsi="Times New Roman" w:cs="Times New Roman"/>
          <w:sz w:val="22"/>
          <w:szCs w:val="22"/>
        </w:rPr>
        <w:t>comments</w:t>
      </w:r>
      <w:proofErr w:type="gramEnd"/>
      <w:r w:rsidRPr="00D60495">
        <w:rPr>
          <w:rFonts w:ascii="Times New Roman" w:hAnsi="Times New Roman" w:cs="Times New Roman"/>
          <w:sz w:val="22"/>
          <w:szCs w:val="22"/>
        </w:rPr>
        <w:t xml:space="preserve"> column (cell AG22 of the Excel document)</w:t>
      </w:r>
      <w:r w:rsidR="00EF70A5">
        <w:rPr>
          <w:rFonts w:ascii="Times New Roman" w:hAnsi="Times New Roman" w:cs="Times New Roman"/>
          <w:sz w:val="22"/>
          <w:szCs w:val="22"/>
        </w:rPr>
        <w:t>.</w:t>
      </w:r>
      <w:r w:rsidRPr="00D60495">
        <w:rPr>
          <w:rFonts w:ascii="Times New Roman" w:hAnsi="Times New Roman" w:cs="Times New Roman"/>
          <w:sz w:val="22"/>
          <w:szCs w:val="22"/>
        </w:rPr>
        <w:t xml:space="preserve"> </w:t>
      </w:r>
    </w:p>
    <w:p w14:paraId="58C418B1" w14:textId="75F41EA8" w:rsidR="00604C40" w:rsidRDefault="00604C40" w:rsidP="00512781">
      <w:pPr>
        <w:jc w:val="both"/>
        <w:rPr>
          <w:rFonts w:ascii="Times New Roman" w:hAnsi="Times New Roman" w:cs="Times New Roman"/>
          <w:sz w:val="22"/>
          <w:szCs w:val="22"/>
        </w:rPr>
      </w:pPr>
    </w:p>
    <w:sectPr w:rsidR="00604C40" w:rsidSect="00B87A9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1"/>
    <w:rsid w:val="00027EE4"/>
    <w:rsid w:val="00051439"/>
    <w:rsid w:val="001E0B91"/>
    <w:rsid w:val="002D4318"/>
    <w:rsid w:val="003223F9"/>
    <w:rsid w:val="00494412"/>
    <w:rsid w:val="004B3614"/>
    <w:rsid w:val="00512781"/>
    <w:rsid w:val="00512F45"/>
    <w:rsid w:val="00575D17"/>
    <w:rsid w:val="00597A96"/>
    <w:rsid w:val="005F7778"/>
    <w:rsid w:val="00604C40"/>
    <w:rsid w:val="00773F09"/>
    <w:rsid w:val="00783B8E"/>
    <w:rsid w:val="00880688"/>
    <w:rsid w:val="008D0A36"/>
    <w:rsid w:val="008F490A"/>
    <w:rsid w:val="009B26F6"/>
    <w:rsid w:val="009C4DD7"/>
    <w:rsid w:val="00B2442C"/>
    <w:rsid w:val="00B87A90"/>
    <w:rsid w:val="00C10238"/>
    <w:rsid w:val="00C677D0"/>
    <w:rsid w:val="00D60495"/>
    <w:rsid w:val="00E962EF"/>
    <w:rsid w:val="00EF70A5"/>
    <w:rsid w:val="00F71A06"/>
    <w:rsid w:val="00F75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F1B98"/>
  <w14:defaultImageDpi w14:val="300"/>
  <w15:docId w15:val="{8465C103-1233-465F-8263-D26445FDC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B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B8E"/>
    <w:rPr>
      <w:rFonts w:ascii="Segoe UI" w:hAnsi="Segoe UI" w:cs="Segoe UI"/>
      <w:sz w:val="18"/>
      <w:szCs w:val="18"/>
      <w:lang w:val="en-GB"/>
    </w:rPr>
  </w:style>
  <w:style w:type="character" w:styleId="CommentReference">
    <w:name w:val="annotation reference"/>
    <w:basedOn w:val="DefaultParagraphFont"/>
    <w:uiPriority w:val="99"/>
    <w:semiHidden/>
    <w:unhideWhenUsed/>
    <w:rsid w:val="00F71A06"/>
    <w:rPr>
      <w:sz w:val="16"/>
      <w:szCs w:val="16"/>
    </w:rPr>
  </w:style>
  <w:style w:type="paragraph" w:styleId="CommentText">
    <w:name w:val="annotation text"/>
    <w:basedOn w:val="Normal"/>
    <w:link w:val="CommentTextChar"/>
    <w:uiPriority w:val="99"/>
    <w:semiHidden/>
    <w:unhideWhenUsed/>
    <w:rsid w:val="00F71A06"/>
    <w:rPr>
      <w:sz w:val="20"/>
      <w:szCs w:val="20"/>
    </w:rPr>
  </w:style>
  <w:style w:type="character" w:customStyle="1" w:styleId="CommentTextChar">
    <w:name w:val="Comment Text Char"/>
    <w:basedOn w:val="DefaultParagraphFont"/>
    <w:link w:val="CommentText"/>
    <w:uiPriority w:val="99"/>
    <w:semiHidden/>
    <w:rsid w:val="00F71A06"/>
    <w:rPr>
      <w:sz w:val="20"/>
      <w:szCs w:val="20"/>
      <w:lang w:val="en-GB"/>
    </w:rPr>
  </w:style>
  <w:style w:type="paragraph" w:styleId="CommentSubject">
    <w:name w:val="annotation subject"/>
    <w:basedOn w:val="CommentText"/>
    <w:next w:val="CommentText"/>
    <w:link w:val="CommentSubjectChar"/>
    <w:uiPriority w:val="99"/>
    <w:semiHidden/>
    <w:unhideWhenUsed/>
    <w:rsid w:val="00F71A06"/>
    <w:rPr>
      <w:b/>
      <w:bCs/>
    </w:rPr>
  </w:style>
  <w:style w:type="character" w:customStyle="1" w:styleId="CommentSubjectChar">
    <w:name w:val="Comment Subject Char"/>
    <w:basedOn w:val="CommentTextChar"/>
    <w:link w:val="CommentSubject"/>
    <w:uiPriority w:val="99"/>
    <w:semiHidden/>
    <w:rsid w:val="00F71A0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Dzankic</dc:creator>
  <cp:keywords/>
  <dc:description/>
  <cp:lastModifiedBy>Author</cp:lastModifiedBy>
  <cp:revision>5</cp:revision>
  <dcterms:created xsi:type="dcterms:W3CDTF">2018-09-12T15:14:00Z</dcterms:created>
  <dcterms:modified xsi:type="dcterms:W3CDTF">2018-09-12T15:24:00Z</dcterms:modified>
</cp:coreProperties>
</file>